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Spacing w:w="0" w:type="dxa"/>
        <w:tblCellMar>
          <w:left w:w="0" w:type="dxa"/>
          <w:right w:w="0" w:type="dxa"/>
        </w:tblCellMar>
        <w:tblLook w:val="04A0"/>
      </w:tblPr>
      <w:tblGrid>
        <w:gridCol w:w="3511"/>
        <w:gridCol w:w="5776"/>
      </w:tblGrid>
      <w:tr w:rsidR="003A1404" w:rsidRPr="003A1404" w:rsidTr="003A1404">
        <w:trPr>
          <w:tblCellSpacing w:w="0" w:type="dxa"/>
        </w:trPr>
        <w:tc>
          <w:tcPr>
            <w:tcW w:w="3511" w:type="dxa"/>
            <w:tcMar>
              <w:top w:w="0" w:type="dxa"/>
              <w:left w:w="108" w:type="dxa"/>
              <w:bottom w:w="0" w:type="dxa"/>
              <w:right w:w="108" w:type="dxa"/>
            </w:tcMar>
            <w:hideMark/>
          </w:tcPr>
          <w:p w:rsidR="003A1404" w:rsidRPr="003A1404" w:rsidRDefault="003A1404" w:rsidP="003A1404">
            <w:pPr>
              <w:spacing w:before="120" w:after="100" w:afterAutospacing="1" w:line="240" w:lineRule="auto"/>
              <w:jc w:val="center"/>
              <w:rPr>
                <w:rFonts w:ascii="Times New Roman" w:eastAsia="Times New Roman" w:hAnsi="Times New Roman" w:cs="Times New Roman"/>
                <w:sz w:val="24"/>
                <w:szCs w:val="24"/>
              </w:rPr>
            </w:pPr>
            <w:r w:rsidRPr="003A1404">
              <w:rPr>
                <w:rFonts w:ascii="Times New Roman" w:eastAsia="Times New Roman" w:hAnsi="Times New Roman" w:cs="Times New Roman"/>
                <w:b/>
                <w:bCs/>
                <w:sz w:val="24"/>
                <w:szCs w:val="24"/>
              </w:rPr>
              <w:t>CHÍNH PHỦ</w:t>
            </w:r>
            <w:r w:rsidRPr="003A1404">
              <w:rPr>
                <w:rFonts w:ascii="Times New Roman" w:eastAsia="Times New Roman" w:hAnsi="Times New Roman" w:cs="Times New Roman"/>
                <w:b/>
                <w:bCs/>
                <w:sz w:val="24"/>
                <w:szCs w:val="24"/>
              </w:rPr>
              <w:br/>
              <w:t>-------</w:t>
            </w:r>
          </w:p>
        </w:tc>
        <w:tc>
          <w:tcPr>
            <w:tcW w:w="5776" w:type="dxa"/>
            <w:tcMar>
              <w:top w:w="0" w:type="dxa"/>
              <w:left w:w="108" w:type="dxa"/>
              <w:bottom w:w="0" w:type="dxa"/>
              <w:right w:w="108" w:type="dxa"/>
            </w:tcMar>
            <w:hideMark/>
          </w:tcPr>
          <w:p w:rsidR="003A1404" w:rsidRPr="003A1404" w:rsidRDefault="003A1404" w:rsidP="003A1404">
            <w:pPr>
              <w:spacing w:before="120" w:after="100" w:afterAutospacing="1" w:line="240" w:lineRule="auto"/>
              <w:jc w:val="center"/>
              <w:rPr>
                <w:rFonts w:ascii="Times New Roman" w:eastAsia="Times New Roman" w:hAnsi="Times New Roman" w:cs="Times New Roman"/>
                <w:sz w:val="24"/>
                <w:szCs w:val="24"/>
              </w:rPr>
            </w:pPr>
            <w:r w:rsidRPr="003A1404">
              <w:rPr>
                <w:rFonts w:ascii="Times New Roman" w:eastAsia="Times New Roman" w:hAnsi="Times New Roman" w:cs="Times New Roman"/>
                <w:b/>
                <w:bCs/>
                <w:sz w:val="24"/>
                <w:szCs w:val="24"/>
              </w:rPr>
              <w:t>CỘNG HÒA XÃ HỘI CHỦ NGHĨA VIỆT NAM</w:t>
            </w:r>
            <w:r w:rsidRPr="003A1404">
              <w:rPr>
                <w:rFonts w:ascii="Times New Roman" w:eastAsia="Times New Roman" w:hAnsi="Times New Roman" w:cs="Times New Roman"/>
                <w:b/>
                <w:bCs/>
                <w:sz w:val="24"/>
                <w:szCs w:val="24"/>
              </w:rPr>
              <w:br/>
              <w:t xml:space="preserve">Độc lập - Tự do - Hạnh phúc </w:t>
            </w:r>
            <w:r w:rsidRPr="003A1404">
              <w:rPr>
                <w:rFonts w:ascii="Times New Roman" w:eastAsia="Times New Roman" w:hAnsi="Times New Roman" w:cs="Times New Roman"/>
                <w:b/>
                <w:bCs/>
                <w:sz w:val="24"/>
                <w:szCs w:val="24"/>
              </w:rPr>
              <w:br/>
              <w:t>---------------</w:t>
            </w:r>
          </w:p>
        </w:tc>
      </w:tr>
      <w:tr w:rsidR="003A1404" w:rsidRPr="003A1404" w:rsidTr="003A1404">
        <w:trPr>
          <w:tblCellSpacing w:w="0" w:type="dxa"/>
        </w:trPr>
        <w:tc>
          <w:tcPr>
            <w:tcW w:w="3511" w:type="dxa"/>
            <w:tcMar>
              <w:top w:w="0" w:type="dxa"/>
              <w:left w:w="108" w:type="dxa"/>
              <w:bottom w:w="0" w:type="dxa"/>
              <w:right w:w="108" w:type="dxa"/>
            </w:tcMar>
            <w:hideMark/>
          </w:tcPr>
          <w:p w:rsidR="003A1404" w:rsidRPr="003A1404" w:rsidRDefault="003A1404" w:rsidP="003A1404">
            <w:pPr>
              <w:spacing w:before="120" w:after="100" w:afterAutospacing="1" w:line="240" w:lineRule="auto"/>
              <w:jc w:val="center"/>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Số: 58/NQ-CP</w:t>
            </w:r>
          </w:p>
        </w:tc>
        <w:tc>
          <w:tcPr>
            <w:tcW w:w="5776" w:type="dxa"/>
            <w:tcMar>
              <w:top w:w="0" w:type="dxa"/>
              <w:left w:w="108" w:type="dxa"/>
              <w:bottom w:w="0" w:type="dxa"/>
              <w:right w:w="108" w:type="dxa"/>
            </w:tcMar>
            <w:hideMark/>
          </w:tcPr>
          <w:p w:rsidR="003A1404" w:rsidRPr="003A1404" w:rsidRDefault="003A1404" w:rsidP="003A1404">
            <w:pPr>
              <w:spacing w:before="120" w:after="100" w:afterAutospacing="1" w:line="240" w:lineRule="auto"/>
              <w:jc w:val="right"/>
              <w:rPr>
                <w:rFonts w:ascii="Times New Roman" w:eastAsia="Times New Roman" w:hAnsi="Times New Roman" w:cs="Times New Roman"/>
                <w:sz w:val="24"/>
                <w:szCs w:val="24"/>
              </w:rPr>
            </w:pPr>
            <w:r w:rsidRPr="003A1404">
              <w:rPr>
                <w:rFonts w:ascii="Times New Roman" w:eastAsia="Times New Roman" w:hAnsi="Times New Roman" w:cs="Times New Roman"/>
                <w:i/>
                <w:iCs/>
                <w:sz w:val="24"/>
                <w:szCs w:val="24"/>
              </w:rPr>
              <w:t>Hà Nội, ngày 21 tháng 4 năm 2023</w:t>
            </w:r>
          </w:p>
        </w:tc>
      </w:tr>
    </w:tbl>
    <w:p w:rsidR="003A1404" w:rsidRPr="003A1404" w:rsidRDefault="003A1404" w:rsidP="003A1404">
      <w:pPr>
        <w:spacing w:before="120" w:after="100" w:afterAutospacing="1"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 </w:t>
      </w:r>
    </w:p>
    <w:p w:rsidR="003A1404" w:rsidRPr="003A1404" w:rsidRDefault="003A1404" w:rsidP="003A1404">
      <w:pPr>
        <w:spacing w:after="0" w:line="240" w:lineRule="auto"/>
        <w:jc w:val="center"/>
        <w:rPr>
          <w:rFonts w:ascii="Times New Roman" w:eastAsia="Times New Roman" w:hAnsi="Times New Roman" w:cs="Times New Roman"/>
          <w:sz w:val="24"/>
          <w:szCs w:val="24"/>
        </w:rPr>
      </w:pPr>
      <w:r w:rsidRPr="003A1404">
        <w:rPr>
          <w:rFonts w:ascii="Times New Roman" w:eastAsia="Times New Roman" w:hAnsi="Times New Roman" w:cs="Times New Roman"/>
          <w:b/>
          <w:bCs/>
          <w:sz w:val="24"/>
          <w:szCs w:val="24"/>
        </w:rPr>
        <w:t>NGHỊ QUYẾT</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VỀ MỘT SỐ CHÍNH SÁCH, GIẢI PHÁP TRỌNG TÂM HỖ TRỢ DOANH NGHIỆP CHỦ ĐỘNG THÍCH ỨNG, PHỤC HỒI NHANH VÀ PHÁT TRIỂN BỀN VỮNG ĐẾN NĂM 2025</w:t>
      </w:r>
    </w:p>
    <w:p w:rsidR="003A1404" w:rsidRPr="003A1404" w:rsidRDefault="003A1404" w:rsidP="003A1404">
      <w:pPr>
        <w:spacing w:after="0" w:line="240" w:lineRule="auto"/>
        <w:jc w:val="center"/>
        <w:rPr>
          <w:rFonts w:ascii="Times New Roman" w:eastAsia="Times New Roman" w:hAnsi="Times New Roman" w:cs="Times New Roman"/>
          <w:sz w:val="24"/>
          <w:szCs w:val="24"/>
        </w:rPr>
      </w:pPr>
      <w:r w:rsidRPr="003A1404">
        <w:rPr>
          <w:rFonts w:ascii="Times New Roman" w:eastAsia="Times New Roman" w:hAnsi="Times New Roman" w:cs="Times New Roman"/>
          <w:b/>
          <w:bCs/>
          <w:sz w:val="24"/>
          <w:szCs w:val="24"/>
        </w:rPr>
        <w:t>CHÍNH PHỦ</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i/>
          <w:iCs/>
          <w:sz w:val="24"/>
          <w:szCs w:val="24"/>
        </w:rPr>
        <w:t>Căn cứ Luật Tổ chức Chính phủ ngày 19 tháng 6 năm 2015; Luật sửa đổi, bổ sung một số điều của Luật Tổ chức Chính phủ và Luật Tổ chức chính quyền địa phương ngày 22 tháng 11 năm 2019;</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i/>
          <w:iCs/>
          <w:sz w:val="24"/>
          <w:szCs w:val="24"/>
        </w:rPr>
        <w:t>Căn cứ Nghị định số 39/2022/NĐ-CP ngày 18 tháng 6 năm 2022 của Chính phủ ban hành Quy chế làm việc của Chính phủ;</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i/>
          <w:iCs/>
          <w:sz w:val="24"/>
          <w:szCs w:val="24"/>
        </w:rPr>
        <w:t>Theo đề nghị của Bộ trưởng Bộ Kế hoạch và Đầu tư,</w:t>
      </w:r>
    </w:p>
    <w:p w:rsidR="003A1404" w:rsidRPr="003A1404" w:rsidRDefault="003A1404" w:rsidP="003A1404">
      <w:pPr>
        <w:spacing w:after="0" w:line="240" w:lineRule="auto"/>
        <w:jc w:val="center"/>
        <w:rPr>
          <w:rFonts w:ascii="Times New Roman" w:eastAsia="Times New Roman" w:hAnsi="Times New Roman" w:cs="Times New Roman"/>
          <w:sz w:val="24"/>
          <w:szCs w:val="24"/>
        </w:rPr>
      </w:pPr>
      <w:r w:rsidRPr="003A1404">
        <w:rPr>
          <w:rFonts w:ascii="Times New Roman" w:eastAsia="Times New Roman" w:hAnsi="Times New Roman" w:cs="Times New Roman"/>
          <w:b/>
          <w:bCs/>
          <w:sz w:val="24"/>
          <w:szCs w:val="24"/>
        </w:rPr>
        <w:t>QUYẾT NGHỊ:</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Thời gian qua, dịch Covid-19 và các biến động phức tạp về địa chính trị kinh tế thế giới đã và đang ảnh hưởng lớn đến nền kinh tế nước ta cũng như hoạt động sản xuất kinh doanh của doanh nghiệp. Trong bối cảnh chịu nhiều sức ép lớn, khó khăn, thách thức chưa từng có tiền lệ của tình hình thế giới, với nguồn lực còn hạn chế, dưới sự lãnh đạo đúng đắn, sát sao của Đảng, sự đồng hành của Quốc hội, sự chung sức, đồng lòng và quyết tâm cao của toàn bộ hệ thống chính trị, sự hợp tác giúp đỡ của bạn bè quốc tế, Chính phủ và Thủ tướng Chính phủ đã chỉ đạo điều hành quyết liệt, thống nhất, kịp thời các bộ, ngành và địa phương triển khai nhiều chính sách, giải pháp giữ vững ổn định kinh tế vĩ mô, kiểm soát lạm phát theo mục tiêu đề ra, duy trì tỉ giá, lãi suất hợp lý, cơ bản ổn định so với các nước lớn và trong khu vực đang chịu nhiều biến động; giảm đáng kể áp lực chi phí nguyên, nhiên liệu đầu vào để tháo gỡ khó khăn cho sản xuất kinh doanh.</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Chính vì vậy, cùng với sự nỗ lực vượt qua khó khăn, tinh thần đổi mới, chủ động thích ứng của cộng đồng doanh nghiệp, hoạt động sản xuất kinh doanh thời gian qua đã có nhiều tín hiệu phục hồi khởi sắc. Khu vực doanh nghiệp vẫn đạt mức tăng trưởng đáng khích lệ ngay trong bối cảnh dịch Covid-19 diễn biến phức tạp. Niềm tin của các nhà đầu tư và doanh nghiệp tiếp tục được củng cố và có xu hướng tích cực.</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Mặc dù vậy, tình hình sản xuất kinh doanh trong thời gian tới dự kiến tiếp tục gặp nhiều khó khăn: ảnh hưởng của dịch Covid-19 vẫn còn hiện hữu; vấn đề biến đổi khí hậu, hạn hán, lũ lụt diễn ra bất thường; cạnh tranh chiến lược của các cường quốc; xung đột quân sự Nga - Ucraina có thể kéo dài; vấn đề lạm phát ở nhiều quốc gia có khả năng trở thành vấn đề dai dẳng trong trung hạn; giá xăng dầu, nhiên, nguyên vật liệu còn ở mức cao; sự phục hồi chậm và khó khăn của các đối tác thương mại lớn... Ngoài ra, sự dịch chuyển chuỗi giá trị, yêu cầu của đối tác, thị trường theo hướng sản xuất và tiêu dùng bền vững, xu hướng kinh tế xanh, kinh tế số, cách mạng công nghiệp 4.0 đang diễn ra mạnh mẽ; các cam kết của Việt Nam khi tham gia Công ước khung của Liên hợp quốc về biến đổi khí hậu (COP26); vấn đề thuế các-bon, công cụ kiểm chứng các-bon được áp dụng ở nhiều nước trên thế giới...đang đặt ra yêu cầu cho các doanh nghiệp Việt Nam cần phải đổi mới để bắt kịp xu thế mới nếu không sẽ bị giảm sức cạnh tranh và bị mất cơ hội tiến sâu vào chuỗi giá trị toàn cầu.</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 xml:space="preserve">Trong thời gian tới, tình hình thế giới, khu vực và trong nước có cả thuận lợi, thời cơ và khó khăn, thách thức đan xen. Để có thể đạt được mục tiêu mà Nghị quyết Đại hội Đảng lần thứ XIII đề ra và hoàn thành các mục tiêu, chỉ tiêu phát triển kinh tế - xã hội 5 năm 2021-2025 đã được Quốc hội thông qua, Việt Nam cần đổi mới mạnh mẽ mô hình tăng trưởng, cơ cấu lại nền kinh tế, hoàn thiện </w:t>
      </w:r>
      <w:r w:rsidRPr="003A1404">
        <w:rPr>
          <w:rFonts w:ascii="Times New Roman" w:eastAsia="Times New Roman" w:hAnsi="Times New Roman" w:cs="Times New Roman"/>
          <w:sz w:val="24"/>
          <w:szCs w:val="24"/>
        </w:rPr>
        <w:lastRenderedPageBreak/>
        <w:t>nền kinh tế thị trường định hướng xã hội chủ nghĩa; nâng cao năng suất, chất lượng, hiệu quả và sức cạnh tranh của nền kinh tế; trong đó cộng đồng doanh nghiệp đóng vai trò là lực lượng tiên phong, nòng cốt, quan trọng để thực hiện thành công các mục tiêu đề ra.</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Nhằm hỗ trợ các doanh nghiệp Việt Nam chủ động thích ứng, phục hồi nhanh và phát triển bền vững cả về số lượng, chất lượng, thực sự trở thành lực lượng quan trọng đảm bảo tính tự chủ của nền kinh tế, Chính phủ yêu cầu các Bộ, cơ quan ngang Bộ, cơ quan thuộc Chính phủ, Ủy ban nhân dân các tỉnh, thành phố trực thuộc Trung ương thực hiện quyết liệt, hiệu quả những quan điểm, mục tiêu, nhiệm vụ và giải pháp trọng tâm hỗ trợ và phát triển doanh nghiệp sau đây:</w:t>
      </w:r>
    </w:p>
    <w:p w:rsidR="003A1404" w:rsidRPr="003A1404" w:rsidRDefault="003A1404" w:rsidP="003A1404">
      <w:pPr>
        <w:spacing w:after="0" w:line="240" w:lineRule="auto"/>
        <w:jc w:val="center"/>
        <w:rPr>
          <w:rFonts w:ascii="Times New Roman" w:eastAsia="Times New Roman" w:hAnsi="Times New Roman" w:cs="Times New Roman"/>
          <w:sz w:val="24"/>
          <w:szCs w:val="24"/>
        </w:rPr>
      </w:pPr>
      <w:r w:rsidRPr="003A1404">
        <w:rPr>
          <w:rFonts w:ascii="Times New Roman" w:eastAsia="Times New Roman" w:hAnsi="Times New Roman" w:cs="Times New Roman"/>
          <w:b/>
          <w:bCs/>
          <w:sz w:val="24"/>
          <w:szCs w:val="24"/>
        </w:rPr>
        <w:t>I. QUAN ĐIỂM</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1. Quán triệt thực thi đầy đủ và hiệu quả các nghị quyết, chủ trương, đường lối, chính sách của Đảng và Nhà nước về khuyến khích phát triển doanh nghiệp; bảo vệ quyền sở hữu tài sản hợp pháp và quyền tự do kinh doanh của người dân, doanh nghiệp theo Hiến pháp và pháp luật; kiến tạo phát triển và kiểm soát rủi ro, lành mạnh hóa môi trường đầu tư kinh doanh; không hình sự hóa quan hệ kinh tế, dân sự, đồng thời xử lý nghiêm mọi hành vi vi phạm pháp luật; củng cố niềm tin của cộng đồng doanh nghiệp, doanh nhân; bảo đảm quyền bình đẳng cho tất cả các doanh nghiệp, không phân biệt loại hình, thành phần kinh tế trong cơ hội tiếp cận các nguồn lực và chính sách.</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2. Tiếp tục đồng hành, hỗ trợ tối đa cho các doanh nghiệp phát triển, coi việc tháo gỡ các rào cản, khó khăn cho doanh nghiệp là nhiệm vụ chính trị hàng đầu. Khơi thông các điểm nghẽn với phương châm “sớm nhất, hiệu quả nhất”, huy động, giải phóng các nguồn lực xã hội cho đầu tư phát triển. Nêu cao tinh thần tự lực, tự cường, huy động sức mạnh đại đoàn kết toàn dân tộc, sự vào cuộc của cả hệ thống chính trị, cộng đồng doanh nghiệp, mở rộng hợp tác quốc tế.</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3. Bảo đảm tính ổn định, nhất quán, dễ dự báo, rõ ràng, minh bạch, hiệu quả và thực chất của chính sách; tiếp tục cải thiện môi trường đầu tư kinh doanh theo hướng thông thoáng, thuận lợi, an toàn và thân thiện, tiệm cận với chuẩn mực quốc tế; đơn giản hóa khâu tiền kiểm, tăng cường hậu kiểm dựa trên tiêu chuẩn, tiêu chí rõ ràng, minh bạch, hợp lý; đẩy mạnh ứng dụng công nghệ, chuyển đổi số trong hệ thống cơ quan quản lý nhà nước.</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4. Chủ động xây dựng chính sách và chuẩn bị các nguồn lực cần thiết hỗ trợ doanh nghiệp chủ động thích ứng với các biến động trong tương lai, đẩy mạnh đổi mới sáng tạo, nâng cao năng lực cạnh tranh, phát triển nhanh và bền vững.</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5. Hỗ trợ doanh nghiệp trọng tâm, trọng điểm, đón đầu các xu hướng kinh doanh mới; phát triển các mô hình kinh doanh mới dựa trên đổi mới sáng tạo, kinh tế số, kinh tế chia sẻ, kinh tế tuần hoàn, kinh tế xanh và kinh doanh bền vững; thúc đẩy hình thành các doanh nghiệp có khả năng dẫn dắt trong một số ngành, lĩnh vực tiềm năng tạo động lực tăng trưởng mới và thực hiện các mục tiêu bền vững.</w:t>
      </w:r>
    </w:p>
    <w:p w:rsidR="003A1404" w:rsidRPr="003A1404" w:rsidRDefault="003A1404" w:rsidP="003A1404">
      <w:pPr>
        <w:spacing w:after="0" w:line="240" w:lineRule="auto"/>
        <w:jc w:val="center"/>
        <w:rPr>
          <w:rFonts w:ascii="Times New Roman" w:eastAsia="Times New Roman" w:hAnsi="Times New Roman" w:cs="Times New Roman"/>
          <w:sz w:val="24"/>
          <w:szCs w:val="24"/>
        </w:rPr>
      </w:pPr>
      <w:r w:rsidRPr="003A1404">
        <w:rPr>
          <w:rFonts w:ascii="Times New Roman" w:eastAsia="Times New Roman" w:hAnsi="Times New Roman" w:cs="Times New Roman"/>
          <w:b/>
          <w:bCs/>
          <w:sz w:val="24"/>
          <w:szCs w:val="24"/>
        </w:rPr>
        <w:t>II. MỤC TIÊU</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1. Mục tiêu tổng quát: Hỗ trợ và phát triển doanh nghiệp chủ động thích ứng với tình hình mới, ổn định hoạt động sản xuất kinh doanh và phục hồi nhanh, đổi mới sáng tạo, phát triển sản xuất kinh doanh bền vững, nâng cao năng lực cạnh tranh, tham gia sâu vào mạng lưới sản xuất, chuỗi giá trị khu vực và toàn cầu; lớn mạnh về số lượng và chất lượng, góp phần xây dựng nền kinh tế độc lập, tự chủ, chủ động tích cực hội nhập kinh tế quốc tế sâu rộng, thực chất, hiệu quả.</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2. Mục tiêu cụ thể:</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Phấn đấu đến năm 2025:</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a) Đạt 1,5 triệu doanh nghiệp; 8.000-10.000 hộ kinh doanh chuyển đổi thành doanh nghiệp.</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b) Khu vực doanh nghiệp đóng góp khoảng 65-70% GDP cả nước, khoảng 30-35% tổng việc làm trong nền kinh tế, 98-99% tổng kim ngạch xuất nhập khẩu.</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c) Khoảng 35-40% tổng số doanh nghiệp có hoạt động ứng dụng khoa học và công nghệ, đổi mới sáng tạo.</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d) 100% cơ sở kinh doanh bao gồm doanh nghiệp, hợp tác xã, hộ kinh doanh được nâng cao nhận thức về chuyển đổi số; tối thiểu 30.000 cơ sở kinh doanh được hỗ trợ thực hiện chuyển đổi số.</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lastRenderedPageBreak/>
        <w:t>đ) Mỗi năm tăng 10% số lượng doanh nghiệp được xếp vào danh sách doanh nghiệp có giá trị thương hiệu cao nhất của các tổ chức xếp hạng uy tín trên thế giới.</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e) 100% thủ tục hành chính liên quan đến doanh nghiệp đủ điều kiện được cung cấp dịch vụ công trực tuyến.</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g) 80% doanh nghiệp sử dụng lao động qua đào tạo.</w:t>
      </w:r>
    </w:p>
    <w:p w:rsidR="003A1404" w:rsidRPr="003A1404" w:rsidRDefault="003A1404" w:rsidP="003A1404">
      <w:pPr>
        <w:spacing w:after="0" w:line="240" w:lineRule="auto"/>
        <w:jc w:val="center"/>
        <w:rPr>
          <w:rFonts w:ascii="Times New Roman" w:eastAsia="Times New Roman" w:hAnsi="Times New Roman" w:cs="Times New Roman"/>
          <w:sz w:val="24"/>
          <w:szCs w:val="24"/>
        </w:rPr>
      </w:pPr>
      <w:r w:rsidRPr="003A1404">
        <w:rPr>
          <w:rFonts w:ascii="Times New Roman" w:eastAsia="Times New Roman" w:hAnsi="Times New Roman" w:cs="Times New Roman"/>
          <w:b/>
          <w:bCs/>
          <w:sz w:val="24"/>
          <w:szCs w:val="24"/>
        </w:rPr>
        <w:t>III. NHIỆM VỤ VÀ GIẢI PHÁP</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b/>
          <w:bCs/>
          <w:sz w:val="24"/>
          <w:szCs w:val="24"/>
        </w:rPr>
        <w:t>A. Nhóm nhiệm vụ, giải pháp cần triển khai trong ngắn hạn:</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1. Khẩn trương tháo gỡ các vướng mắc, rào cản về pháp lý nhằm khơi thông nguồn lực cho đầu tư sản xuất kinh doanh</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a) Các bộ, ngành, địa phương:</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 Khẩn trương thực hiện rà soát, tháo gỡ vướng mắc cho các dự án đầu tư đã được cấp phép, chưa triển khai hoặc đang triển khai nhằm khơi thông nguồn lực đầu tư cho sản xuất kinh doanh và phát triển kinh tế; đẩy mạnh công tác thực hiện và giải ngân vốn đầu tư công.</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 Rà soát, tạo điều kiện xử lý nhanh các thủ tục đầu tư, xây dựng đối với các dự án bất động sản trên địa bàn đã đáp ứng đủ điều kiện để các doanh nghiệp bất động sản, xây dựng sớm triển khai theo quyết định đầu tư được phê duyệt để sớm hoàn thành, đưa sản phẩm ra thị trường.</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b) Bộ Xây dựng và Ủy ban nhân dân các tỉnh, thành phố trực thuộc Trung ương khẩn trương nghiên cứu, đề xuất các giải pháp tháo gỡ khó khăn về pháp lý, thủ tục đầu tư xây dựng đối với các dự án bất động sản; tiếp tục giám sát chặt chẽ hoạt động của thị trường bất động sản và việc huy động vốn của các doanh nghiệp bất động sản, xây dựng; nghiên cứu bổ sung quy định về tỷ lệ an toàn tài chính huy động vốn của doanh nghiệp bất động sản; báo cáo Thủ tướng Chính phủ trong Quý II năm 2023.</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c) Bộ Giao thông vận tải, các bộ, ngành liên quan và các địa phương đẩy mạnh công tác thực hiện và giải ngân vốn đầu tư công xây dựng kết cấu hạ tầng kinh tế - xã hội, đặc biệt là các dự án trọng điểm, quan trọng quốc gia, khơi thông nguồn lực cho hoạt động đầu tư sản xuất kinh doanh của doanh nghiệp, có giải pháp giảm chi phí cước vận tải biển quốc tế cho doanh nghiệp.</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d) Bộ Tài chính:</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 Chỉ đạo Tổng cục Hải quan chủ trì, phối hợp với các Bộ, ngành, địa phương nghiên cứu, đơn giản hóa tối đa các quy trình hành chính hiện tại hoặc xem xét áp dụng các quy trình xuất, nhập khẩu ưu tiên để hỗ trợ các doanh nghiệp tối ưu thời gian, chi phí ở các khâu thực hiện trong nước nhằm đẩy nhanh quy trình, thủ tục nhập khẩu các mặt hàng thiết yếu và đẩy nhanh xuất khẩu các sản phẩm nông sản, các nhóm mặt hàng xuất khẩu chủ đạo.</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 Tiếp tục thực hiện cải cách quản lý thuế đối với hộ kinh doanh cá nhân nhằm giảm dần sự khác biệt giữa chính sách thuế của doanh nghiệp và hộ kinh doanh; báo cáo Thủ tướng Chính phủ trong Quý II năm 2023.</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 Theo dõi, đánh giá tình hình hoạt động của thị trường trái phiếu doanh nghiệp theo quy định tại Nghị định số 08/2023/NĐ-CP ngày 05 tháng 3 năm 2023 của Chính phủ sửa đổi, bổ sung và ngưng hiệu lực thi hành một số điều tại các Nghị định quy định về chào bán, giao dịch trái phiếu doanh nghiệp riêng lẻ tại thị trường trong nước và chào bán trái phiếu doanh nghiệp ra thị trường quốc tế.</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đ) Bộ Tài nguyên và Môi trường nghiên cứu chỉnh sửa các quy định trong quy chuẩn kỹ thuật nước thải chế biến thủy sản phù hợp với điều kiện thực tế, khả năng công nghệ, yếu tố đặc thù của ngành và thông lệ quốc tế, đặc biệt là chỉ tiêu phospho; xem xét xây dựng quy chuẩn kỹ thuật riêng đối với nước thải ao nuôi thủy sản với các quy định phù hợp với điều kiện thực tế và đặc thù của ngành nuôi trồng thủy sản; báo cáo Thủ tướng Chính phủ trong Quý II năm 2023.</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e) Bộ Nông nghiệp và Phát triển nông thôn:</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 Chủ trì phối hợp với các cơ quan, địa phương liên quan nghiên cứu, đẩy mạnh và thực hiện quyết liệt các giải pháp khắc phục “thẻ vàng” IUU của Liên minh Châu Âu, bao gồm việc cải tiến quy định ghi nhật ký và số hóa quy trình kiểm tra - cấp xác nhận, chứng nhận khai thác; báo cáo Thủ tướng Chính phủ trong Quý II năm 2023.</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lastRenderedPageBreak/>
        <w:t>g) Bộ Xây dựng chủ trì, phối hợp với Bộ Công an nghiên cứu, rà soát các tiêu chuẩn, quy chuẩn về phòng cháy, chữa cháy đối với dự án xây dựng; Bộ Công an rà soát tiêu chuẩn về phòng cháy, chữa cháy, đơn giản hóa thủ tục, tạo điều kiện thuận lợi và giảm chi phí cho doanh nghiệp mà vẫn phải bảo đảm tuyệt đối an toàn; chỉ đạo quyết liệt đấu tranh với tội phạm liên quan đến hoạt động tín dụng đen, báo cáo Thủ tướng Chính phủ kết quả ba năm thực hiện Chỉ thị số 12/CT-TTg ngày 25 tháng 4 năm 2019 của Thủ tướng Chính phủ về tăng cường phòng ngừa, đấu tranh với tội phạm và vi phạm pháp luật liên quan hoạt động tín dụng đen, hoàn thành trong Quý II năm 2023.</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h) Bộ Khoa học và Công nghệ chủ trì phối hợp với Bộ Tài chính và các cơ quan liên quan nghiên cứu sửa đổi quy định về chuyển mục đích sử dụng Quỹ Phát triển khoa học và công nghệ của doanh nghiệp để thực hiện các nhiệm vụ: đầu tư cho các vườn ươm trong lĩnh vực liên quan đến khoa học công nghệ và đổi mới sáng tạo; đặt hàng các sản phẩm đổi mới sáng tạo; đầu tư cho doanh nghiệp khởi nghiệp sáng tạo; báo cáo Thủ tướng Chính phủ trong Quý II năm 2023.</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i) Bộ Kế hoạch và Đầu tư chủ trì, phối hợp với các bộ, ngành, địa phương và hiệp hội doanh nghiệp nghiên cứu cơ chế, chính sách khuyến khích hình thành lực lượng doanh nghiệp tư nhân có vai trò dẫn dắt trong một số lĩnh vực, ngành kinh tế trọng điểm, có lợi thế cạnh tranh; báo cáo Thủ tướng Chính phủ trong Quý II năm 2024.</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k) Thanh tra Chính phủ chủ trì, phối với với các bộ, ngành, cơ quan liên quan giảm tối đa các hoạt động thanh tra theo quy định, xây dựng Chỉ thị thay thế Chỉ thị số 20/CT-TTg ngày 17 tháng 5 năm 2017 của Thủ tướng Chính phủ về việc chấn chỉnh hoạt động thanh tra, kiểm tra đối với doanh nghiệp; đặc biệt giảm triệt để việc chồng chéo trong hoạt động thanh kiểm tra thuế, bảo hiểm xã hội và các hoạt động kiểm tra chuyên ngành khác; trình Thủ tướng Chính phủ trong Quý II năm 2023.</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2. Hỗ trợ giảm chi phí cho doanh nghiệp, tăng cường khả năng tiếp cận các nguồn vốn ưu đãi, nguồn lực hỗ trợ của nhà nước</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a) Bộ Tài chính chủ trì, phối hợp với các cơ quan liên quan:</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 Tiếp tục đẩy mạnh công tác dự báo, phối hợp hiệu quả giữa chính sách tiền tệ, tài khóa với các chính sách vĩ mô khác và cân đối nguồn ngân sách Trung ương hỗ trợ một số đối tượng chịu ảnh hưởng nặng nề của giá xăng dầu như hỗ trợ ngư dân bám biển, hỗ trợ doanh nghiệp vận tải, người thu nhập thấp theo quy định.</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 Tiếp tục triển khai quyết liệt, hiệu quả các giải pháp hỗ trợ về thuế, phí, lệ phí và tiền thuê đất đã được các cấp có thẩm quyền ban hành để thực hiện Chương trình phục hồi và phát triển kinh tế - xã hội.</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 Tập trung nghiên cứu, hoàn thiện và trình cấp có thẩm quyền quyết định để sớm triển khai vào thực tế các giải pháp giảm tiền thuê đất đối với doanh nghiệp, tổ chức; tiếp tục phối hợp các Bộ, ngành, hiệp hội rà soát trình Chính phủ điều chỉnh mức thuế xuất khẩu, thuế nhập khẩu đối với nguyên vật liệu đầu vào phục vụ sản xuất nhằm hỗ trợ sản xuất kinh doanh trong nước.</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 Khẩn trương ban hành Thông tư hướng dẫn cơ chế sử dụng kinh phí ngân sách nhà nước vốn chi thường xuyên hỗ trợ doanh nghiệp nhỏ và vừa theo Nghị định số 80/2021/NĐ-CP ngày 26 tháng 8 năm 2021 của Chính phủ, hoàn thành trong tháng 4 năm 2023.</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 Rà soát, đánh giá các khó khăn, vướng mắc trong việc thực hiện Nghị định số 34/2018/NĐ-CP ngày 08 tháng 3 năm 2018 của Chính phủ về việc thành lập, tổ chức và hoạt động của quỹ bảo lãnh tín dụng cho doanh nghiệp nhỏ và vừa và kiến nghị giải pháp tháo gỡ; báo cáo Thủ tướng Chính phủ trong Quý II năm 2023.</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 Phối hợp với Bộ Nông nghiệp và Phát triển nông thôn có giải pháp giảm chi phí nguyên liệu, vật tư đầu vào phục vụ sản xuất nông nghiệp, thủy sản, đặc biệt thức ăn chăn nuôi.</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b) Bộ Nông nghiệp và Phát triển nông thôn phối hợp với Bộ Tài chính thực hiện các giải pháp hỗ trợ giảm chi phí nguyên liệu, vật tư đầu vào phục vụ sản xuất nông nghiệp, đặc biệt thức ăn chăn nuôi.</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 xml:space="preserve">c) Bộ Xây dựng hướng dẫn, giải quyết theo thẩm quyền hoặc tham mưu cho Chính phủ, Thủ tướng Chính phủ tháo gỡ những khó khăn, vướng mắc liên quan đến quản lý dự án, quản lý chi phí, định </w:t>
      </w:r>
      <w:r w:rsidRPr="003A1404">
        <w:rPr>
          <w:rFonts w:ascii="Times New Roman" w:eastAsia="Times New Roman" w:hAnsi="Times New Roman" w:cs="Times New Roman"/>
          <w:sz w:val="24"/>
          <w:szCs w:val="24"/>
        </w:rPr>
        <w:lastRenderedPageBreak/>
        <w:t>mức xây dựng, vật liệu xây dựng, quản lý chất lượng thi công và hợp đồng xây dựng; hướng dẫn, kiểm tra các địa phương công bố giá các loại vật liệu xây dựng phổ biến trên địa bàn theo quy định của pháp luật trong Quý II năm 2023.</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d) Bộ Công Thương:</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 Tăng cường theo dõi, chỉ đạo các doanh nghiệp đầu mối, phân phối kinh doanh xăng dầu thực hiện đúng quy định về dự trữ lưu thông, không để thiếu nguồn cung mặt hàng xăng dầu; chủ động tính toán, có giải pháp để tự chủ nguồn cung trong nước.</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 Nghiên cứu đề xuất sửa đổi Quyết định số 28/2014/QĐ-TTg ngày 07 tháng 4 năm 2014 của Thủ tướng Chính phủ quy định về cơ cấu biểu giá bán lẻ điện, nghiên cứu bổ sung đối tượng “cơ sở lưu trú du lịch” áp dụng giá bán lẻ điện bằng với giá bán lẻ điện cho các ngành sản xuất theo tinh thần của Nghị quyết số 08-NQ/TW ngày 16 tháng 01 năm 2017 của Bộ Chính trị về phát triển du lịch trở thành ngành kinh tế mũi nhọn; báo cáo Thủ tướng Chính phủ trong Quý II năm 2023.</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 Xây dựng và thực hiện các giải pháp sử dụng điện tiết kiệm và hiệu quả, trong đó chú trọng tới hoạt động điều chỉnh phụ tải.</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đ) Ngân hàng Nhà nước Việt Nam:</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 Chỉ đạo các tổ chức tín dụng tiếp tục tập trung vốn tín dụng phục vụ cho hoạt động sản xuất kinh doanh của doanh nghiệp, đặc biệt là các lĩnh vực ưu tiên, khuyến khích phát triển theo chủ trương của Chính phủ, Thủ tướng Chính phủ; đẩy mạnh triển khai Nghị định số 31/2022/NĐ-CP ngày 20 tháng 05 năm 2022 của Chính phủ về hỗ trợ lãi suất từ ngân sách Nhà nước đối với khoản vay của doanh nghiệp, hợp tác xã, hộ kinh doanh.</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 Đẩy mạnh phát triển thanh toán không dùng tiền mặt và chuyển đổi số; chủ trì, phối hợp với các bộ, ngành liên quan hoàn thiện Nghị định về cơ chế thử nghiệm có kiểm soát hoạt động công nghệ tài chính (Fintech) trong lĩnh vực ngân hàng.</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c) Ủy ban nhân dân các tỉnh, thành phố trực thuộc Trung ương:</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 Xây dựng và triển khai phương án giảm tiền sử dụng nước cho các doanh nghiệp trên địa bàn.</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 Đẩy nhanh việc xây dựng hệ thống giao thông nông thôn vừa phục vụ cho nông nghiệp vừa giúp lao động nông thôn đến các nhà máy làm việc hàng ngày; phát triển và mở rộng vùng sản xuất nông nghiệp và nuôi trồng thủy sản tập trung phù hợp.</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 Công bố giá các loại vật liệu xây dựng phổ biến trên địa bàn theo thẩm quyền và quy định của pháp luật; kiểm tra, rà soát, quản lý chặt chẽ giá vật liệu xây dựng; chỉ đạo các cơ quan, đơn vị trực thuộc thường xuyên theo dõi, bám sát diễn biến thị trường xây dựng để kịp thời cập nhật, công bố giá vật liệu xây dựng theo quy định của pháp luật.</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3. Khắc phục đứt gãy chuỗi cung ứng, đa dạng hóa thị trường xuất khẩu, mở rộng thị trường trong nước</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a) Bộ Công Thương chủ trì, phối hợp với các bộ, ngành, hiệp hội ngành hàng và các cơ quan đối tác nước ngoài đẩy mạnh triển khai các hoạt động hỗ trợ doanh nghiệp đa dạng hóa nguồn cung, đối tác, nhà cung cấp nguồn cung nguyên, nhiên, phụ liệu, linh kiện đầu vào đáp ứng nhu cầu sản xuất kinh doanh; hỗ trợ các ngành, doanh nghiệp ứng phó với các rào cản thương mại, kể cả các biện pháp phòng vệ thương mại; tăng cường hỗ trợ doanh nghiệp nâng cao năng lực tham gia vào chuỗi giá trị toàn cầu, ứng dụng thương mại điện tử trong tiếp cận thị trường, đa dạng hóa thị trường xuất khẩu, chỉ đạo hệ thống Thương vụ tích cực hỗ trợ doanh nghiệp kết nối đối tác và thâm nhập thị trường nước ngoài, tăng cường áp dụng công nghệ thông tin, mở rộng thị trường trong nước; tái cơ cấu mặt hàng và thị trường, tránh tình trạng lệ thuộc vào một số thị trường nhất định; liên kết các doanh nghiệp, sử dụng hàng hóa của nhau, giữ vững và chiếm lĩnh thị trường trong nước; phối hợp với các Bộ, ngành, địa phương hỗ trợ tháo gỡ kịp thời khó khăn phát sinh trong hoạt động xuất nhập khẩu hàng hóa qua cửa khẩu biên giới.</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 xml:space="preserve">b) Bộ Ngoại giao chỉ đạo các cơ quan đại diện Việt Nam ở nước ngoài tích cực hỗ trợ doanh nghiệp kết nối đối tác, thâm nhập thị trường; đẩy mạnh công tác vận động, khuyến khích doanh nhân, trí </w:t>
      </w:r>
      <w:r w:rsidRPr="003A1404">
        <w:rPr>
          <w:rFonts w:ascii="Times New Roman" w:eastAsia="Times New Roman" w:hAnsi="Times New Roman" w:cs="Times New Roman"/>
          <w:sz w:val="24"/>
          <w:szCs w:val="24"/>
        </w:rPr>
        <w:lastRenderedPageBreak/>
        <w:t>thức người Việt Nam ở nước ngoài giao lưu, kết nối, hợp tác đầu tư, kinh doanh, tiêu thụ sản phẩm, hàng hóa của doanh nghiệp Việt Nam tại thị trường các nước.</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4. Tập trung hỗ trợ doanh nghiệp tạo cơ hội, ổn định việc làm cho người lao động; đẩy mạnh triển khai chính sách, giải pháp hỗ trợ người lao động, đào tạo, đào tạo lại, đào tạo bồi dưỡng nâng cao trình độ kỹ năng nghề cho người lao động</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a) Bộ Lao động, Thương binh và Xã hội chủ trì:</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 Hoàn thiện hướng dẫn hỗ trợ đào tạo nghề cho lao động làm việc trong doanh nghiệp nhỏ và vừa theo Nghị định số 80/2021/NĐ-CP ngày 26 tháng 8 năm 2021 của Chính phủ quy định chi tiết một số điều của Luật Hỗ trợ doanh nghiệp nhỏ và vừa, hoàn thành trong quý II năm 2023.</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 Căn cứ tình hình thực tế, tiếp tục rà soát, nghiên cứu có các giải pháp phù hợp hỗ trợ lao động cho khu vực doanh nghiệp.</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 Theo dõi chặt chẽ diễn biến tình hình quan hệ lao động, tình hình biến động lao động tại các doanh nghiệp, xây dựng kênh thu thập thông tin về tình hình lao động - việc làm, quan hệ lao động trên địa bàn; khảo sát nhu cầu tuyển dụng lao động tại các doanh nghiệp để kịp thời kết nối nguồn cung lao động tại các doanh nghiệp có phương án sắp xếp lao động do khó khăn trong tìm kiếm đơn hàng duy trì sản xuất.</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 Đánh giá, tham mưu cấp có thẩm quyền ban hành chính sách, hỗ trợ đào tạo nâng cao tay nghề, kỹ năng nghề nghiệp cho người lao động để sẵn sàng thích ứng với sự thay đổi việc làm nếu có.</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b) Ngân hàng Chính sách xã hội tiếp tục đẩy mạnh thực hiện các chương trình cho vay ưu đãi đối với đối tượng ưu tiên tại Chương trình phục hồi kinh tế.</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c) Các địa phương đẩy nhanh tiến độ giải ngân gói hỗ trợ tiền thuê nhà cho người lao động; đẩy mạnh ứng dụng công nghệ thông tin và hướng dẫn cụ thể cho doanh nghiệp trong quy trình quản lý và xét duyệt hồ sơ trên hệ thống trực tuyến, tạo thuận lợi cho người lao động và doanh nghiệp thụ hưởng chính sách hỗ trợ.</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b/>
          <w:bCs/>
          <w:sz w:val="24"/>
          <w:szCs w:val="24"/>
        </w:rPr>
        <w:t>B. Nhóm nhiệm vụ, giải pháp trong trung và dài hạn:</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1. Tiếp tục cải thiện môi trường đầu tư kinh doanh, cắt giảm, đơn giản hóa các quy định liên quan đến hoạt động kinh doanh</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a) Các bộ, ngành, địa phương:</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 Tập trung giải quyết các bất cập do quy định tại các văn bản quy phạm pháp luật còn chưa cụ thể, chồng chéo, mâu thuẫn trong lĩnh vực đầu tư, đất đai, xây dựng và tài nguyên, môi trường; thực hiện tích hợp các văn bản quy phạm pháp luật để bảo đảm tính thống nhất, đồng bộ, minh bạch, dễ tra cứu, dễ hiểu và dễ tiếp cận của hệ thống pháp luật; chủ động hoặc đề xuất cấp thẩm quyền cắt giảm hoặc đơn giản hóa các quy định tạo ra rào cản mới gây khó khăn cho hoạt động đầu tư, sản xuất kinh doanh, trừ trường hợp cần thiết và phải đánh giá tác động tới doanh nghiệp. Rà soát các thủ tục hành chính liên quan đến doanh nghiệp theo hướng đơn giản hóa hoặc thay đổi phù hợp để có thể ứng dụng hiệu quả công nghệ số, triển khai dịch vụ công trực tuyến.</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 Xây dựng, trình cấp có thẩm quyền ban hành các quy hoạch thuộc lĩnh vực, địa bàn quản lý làm cơ sở cho doanh nghiệp xây dựng kế hoạch, chiến lược đầu tư, sản xuất kinh doanh có tầm nhìn dài hạn, bền vững.</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 Đẩy mạnh triển khai Quyết định số 882/QĐ-TTg ngày 22 tháng 7 năm 2022 của Thủ tướng Chính phủ về Phê duyệt Kế hoạch hành động quốc gia về tăng trưởng xanh giai đoạn 2021-2030, Quyết định số 687/QĐ-TTg ngày 7 tháng 6 năm 2022 về Đề án Phát triển kinh tế tuần hoàn ở Việt Nam, Quyết định số 167/QĐ-TTg ngày 8 tháng 2 năm 2022 về Chương trình hỗ trợ doanh nghiệp khu vực tư nhân kinh doanh bền vững giai đoạn 2022-2025.</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 Tổ chức đối thoại định kỳ giữa các bộ, ngành, chính quyền địa phương với doanh nghiệp nhằm tháo gỡ kịp thời những khó khăn, vướng mắc; đánh giá thực chất quá trình xử lý kiến nghị của cộng đồng doanh nghiệp; nâng cao hiệu quả đầu tư công; khuyến khích đầu tư của khu vực doanh nghiệp góp phần tăng trưởng kinh tế nhanh và bền vững.</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lastRenderedPageBreak/>
        <w:t>b) Bộ Công Thương:</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 Đẩy mạnh triển khai Đề án Phát triển thị trường trong nước gắn với Cuộc vận động “Người Việt Nam ưu tiên dùng hàng Việt Nam trong giai đoạn 2021-2025”, Chương trình phát triển thương mại miền núi, vùng sâu, vùng xa và hải đảo giai đoạn 2021-2025”, Chương trình phát triển thương mại điện tử quốc gia để kích cầu tiêu dùng nội địa.</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 Xây dựng và triển khai các giải pháp phát triển một số tập đoàn bán lẻ lớn trong nước và có khả năng cạnh tranh trong khu vực, có vai trò nòng cốt, dẫn dắt thị trường theo Chiến lược phát triển thương mại trong nước giai đoạn đến năm 2030, tầm nhìn đến năm 2045; nghiên cứu, xây dựng trình cấp có thẩm quyền ban hành chiến lược phát triển các ngành: dệt may, da giày, ô tô, thép, giấy, sữa, nhựa... làm căn cứ cho doanh nghiệp xây dựng kế hoạch, chiến lược kinh doanh dài hạn, bền vững.</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c) Bộ Tư pháp tổ chức triển khai có hiệu quả Chương trình hỗ trợ pháp lý liên ngành cho doanh nghiệp nhỏ và vừa giai đoạn 2021 - 2025.</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d) Ngân hàng Nhà nước Việt Nam kiến tạo môi trường kinh doanh tiền tệ, ngân hàng ổn định, an toàn, khuyến khích cạnh tranh lành mạnh, bảo đảm kỷ luật, kỷ cương, thượng tôn pháp luật và tôn trọng các quy luật thị trường; điều hành chính sách tiền tệ chủ động, linh hoạt, phối hợp đồng bộ, hiệu quả với chính sách tài khóa và các chính sách kinh tế vĩ mô khác nhằm kiểm soát lạm phát.</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2. Thúc đẩy chuyển đổi số, đổi mới sáng tạo trong doanh nghiệp</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a) Bộ Kế hoạch và Đầu tư:</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 Đẩy mạnh triển khai hỗ trợ doanh nghiệp chuyển đổi số theo Luật Hỗ trợ doanh nghiệp nhỏ và vừa để nâng cao hiệu quả hoạt động sản xuất, kinh doanh, năng lực và lợi thế cạnh tranh của doanh nghiệp.</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 Vận hành hiệu quả hoạt động của Trung tâm Đổi mới sáng tạo Quốc gia nhằm thực hiện hỗ trợ, phát triển hệ sinh thái khởi nghiệp, đổi mới sáng tạo, góp phần đổi mới mô hình tăng trưởng trên nền tảng phát triển khoa học và công nghệ; tổ chức hiệu quả Diễn đàn thường niên kết nối quỹ đầu tư đổi mới sáng tạo Việt Nam và Mạng lưới đổi mới sáng tạo quốc gia.</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b) Bộ Thông tin và Truyền thông:</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 Đẩy mạnh triển khai thực hiện Chương trình chuyển đổi số quốc gia đến năm 2025, định hướng đến năm 2030 và Chiến lược quốc gia về phát triển doanh nghiệp công nghệ số Việt Nam đến năm 2030; xây dựng cơ sở hạ tầng mới (như mạng 5G, trung tâm dữ liệu…).</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 Nghiên cứu xây dựng cơ chế minh bạch về nguồn dữ liệu mở thuộc khu vực công tạo thuận lợi cho các doanh nghiệp công nghệ tiếp cận nguồn tài nguyên số để phát triển các sản phẩm, dịch vụ đổi mới sáng tạo.</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c) Bộ Khoa học và Công nghệ:</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 Nghiên cứu, đẩy mạnh phát triển lực lượng doanh nghiệp khoa học và công nghệ, tiếp tục hỗ trợ doanh nghiệp đủ điều kiện được hưởng các chính sách về thuế thu nhập doanh nghiệp, đất đai, tín dụng theo quy định.</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 Nghiên cứu đề xuất và triển khai hiệu quả chương trình hỗ trợ phát triển doanh nghiệp khoa học và công nghệ, các chương trình cấp quốc gia thuộc quản lý của Bộ Khoa học và Công nghệ.</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d) Bộ Nông nghiệp và Phát triển nông thôn chủ trì phối hợp với các bộ, ngành và địa phương đẩy mạnh triển khai chuyển đổi số trong lĩnh vực nông nghiệp, huy động nguồn lực của xã hội, cụ thể hóa các chỉ tiêu cụ thể cho từng giai đoạn, lộ trình thực hiện.</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đ) Ủy ban nhân dân các tỉnh, thành phố trực thuộc Trung ương xây dựng kế hoạch và bố trí nguồn lực hỗ trợ doanh nghiệp, đặc biệt là các doanh nghiệp nhỏ và vừa trên địa bàn thực hiện chuyển đổi số, đổi mới sáng tạo, chuyển giao công nghệ phù hợp với doanh nghiệp.</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3. Hỗ trợ tái cơ cấu lao động, nâng cao chất lượng nguồn nhân lực đáp ứng yêu cầu đổi mới sáng tạo và cách mạng công nghiệp 4.0</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a) Bộ Lao động, Thương binh và Xã hội:</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lastRenderedPageBreak/>
        <w:t>- Phối hợp với Bộ Thông tin và Truyền thông ứng dụng công nghệ thông tin để tổ chức các phiên giao dịch việc làm, hỗ trợ người sử dụng lao động tuyển dụng bằng hình thức trực tuyến; tổ chức các hoạt động kết nối, giao dịch việc làm có sự liên kết giữa các địa phương trong vùng, liên vùng hoặc trên toàn quốc; đầu tư hình thành sàn giao dịch việc làm trực tuyến hiện đại để trực tiếp kết nối giữa người lao động, người sử dụng lao động, không bị rào cản về không gian địa lý.</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 Nghiên cứu chính sách lao động làm bán thời gian trong các ngành nông - thủy sản nhằm tạo điều kiện thuận lợi cho các doanh nghiệp tuyển dụng lao động thời vụ đồng thời giải quyết công ăn việc làm, xóa đói giảm nghèo cho nông dân.</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 Đẩy mạnh triển khai các giải pháp, chính sách, chương trình đào tạo nguồn nhân lực có kỹ năng nghề nghiệp cho doanh nghiệp.</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 Đa dạng hóa các nguồn vốn để thúc đẩy việc tạo việc làm mới, việc làm chất lượng cao, việc làm bền vững, việc làm xanh, phục vụ chuyển đổi số, ứng phó biến đổi khí hậu, việc làm cho đối tượng yếu thế, vùng sâu vùng xa.</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b) Bộ Kế hoạch và Đầu tư chủ trì, phối hợp với Bộ Giáo dục và Đào tạo, Bộ lao động Thương binh và Xã hội, Bộ Khoa học và Công nghệ đẩy mạnh triển khai các hoạt động phát triển nguồn nhân lực phục vụ đổi mới sáng tạo và cuộc Cách mạng công nghiệp 4.0.</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c) Ủy ban nhân dân các tỉnh, thành phố trực thuộc Trung ương xây dựng kế hoạch và bố trí nguồn lực hàng năm triển khai hoạt động hỗ trợ đào tạo, tư vấn khởi nghiệp kinh doanh, nâng cao năng lực quản trị doanh nghiệp cho đội ngũ quản lý doanh nghiệp; nâng cao kỹ năng, chuyển đổi ngành, nghề cho người lao động.</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4. Tăng cường hiệu quả triển khai các chính sách và nguồn lực hỗ trợ doanh nghiệp nâng cao năng lực cạnh tranh, chủ động hội nhập quốc tế, nắm bắt và đón đầu các xu hướng kinh doanh mới, xu hướng thị trường mới</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a) Bộ Kế hoạch và Đầu tư tiếp tục đẩy mạnh thực hiện Luật Hỗ trợ doanh nghiệp nhỏ và vừa với trọng tâm hỗ trợ doanh nghiệp chuyển đổi từ hộ kinh doanh, khởi nghiệp đổi mới sáng tạo, chuyển đổi số, tham gia cụm liên kết chuỗi giá trị; triển khai Chương trình hỗ trợ doanh nghiệp khu vực tư nhân kinh doanh bền vững giai đoạn 2022-2025, trong đó hỗ trợ doanh nghiệp ứng dụng mô hình kinh tế tuần hoàn, kinh doanh bao trùm và kinh doanh bền vững.</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b) Bộ Tài chính ưu tiên cân đối, bố trí nguồn chi thường xuyên ngân sách nhà nước để triển khai các chính sách hỗ trợ doanh nghiệp sản xuất và kinh doanh bền vững, chuyển đổi cơ cấu, công nghệ sang hướng hiện đại, giảm thải các-bon theo quy định của Luật Ngân sách nhà nước và các văn bản pháp luật có liên quan.</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c) Bộ Công Thương đẩy mạnh triển khai và đa dạng hóa hình thức các chương trình xúc tiến thương mại quốc gia, khuyến công quốc gia, phát triển thị trường trong nước, xây dựng thương hiệu quốc gia; tăng cường đào tạo, tư vấn, cung cấp thông tin cho doanh nghiệp để tận dụng lợi thế của các hiệp định thương mại tự do, nắm vững các yêu cầu, điều kiện kỹ thuật, kinh doanh bền vững, giảm thải các-bon của đối tác và thị trường quốc tế; triển khai có hiệu quả hệ thống thông tin thương mại cảnh báo sớm, nhằm cung cấp thông tin cho doanh nghiệp để tránh các vụ kiện bán phá giá, hay các thông tin liên quan khi tiếp cận thị trường xuất khẩu.</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d) Bộ Nông nghiệp và Phát triển nông thôn phối hợp với Bộ Công Thương đẩy mạnh triển khai các giải pháp hỗ trợ hình thành và phát triển chuỗi liên kết sản xuất, chế biến, tiêu thụ, xuất khẩu và truy xuất nguồn gốc đối với các hàng hóa, nông sản, thực phẩm thiết yếu, tận dụng sức mua của thị trường nội địa; nghiên cứu đề xuất phát triển vùng nguyên liệu trong nước phục vụ sản xuất nông nghiệp để thay thế nguyên liệu nhập khẩu nhằm chủ động nguồn cung và giá.</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đ) Ngân hàng Nhà nước Việt Nam chỉ đạo các tổ chức tín dụng phát triển tập trung vốn cho vay đối với các doanh nghiệp đầu tư vào lĩnh vực kinh tế xanh, giảm thải các-bon phục vụ mục tiêu tăng trưởng xanh theo quy định của pháp luật.</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lastRenderedPageBreak/>
        <w:t>e) Ủy ban nhân dân các tỉnh, thành phố trực thuộc Trung ương ưu tiên bố trí kinh phí để hỗ trợ doanh nghiệp nhỏ và vừa, tập trung vào các nội dung hỗ trợ doanh nghiệp nhỏ và vừa chuyển đổi từ hộ kinh doanh, doanh nghiệp nhỏ và vừa khởi nghiệp sáng tạo, tham gia cụm liên kết ngành, chuỗi giá trị, doanh nghiệp nhỏ và vừa do phụ nữ làm chủ, doanh nghiệp nhỏ và vừa sử dụng nhiều lao động nữ, doanh nghiệp nhỏ và vừa là doanh nghiệp xã hội, doanh nghiệp nhỏ và vừa kinh doanh bền vững.</w:t>
      </w:r>
    </w:p>
    <w:p w:rsidR="003A1404" w:rsidRPr="003A1404" w:rsidRDefault="003A1404" w:rsidP="003A1404">
      <w:pPr>
        <w:spacing w:after="0" w:line="240" w:lineRule="auto"/>
        <w:jc w:val="center"/>
        <w:rPr>
          <w:rFonts w:ascii="Times New Roman" w:eastAsia="Times New Roman" w:hAnsi="Times New Roman" w:cs="Times New Roman"/>
          <w:sz w:val="24"/>
          <w:szCs w:val="24"/>
        </w:rPr>
      </w:pPr>
      <w:r w:rsidRPr="003A1404">
        <w:rPr>
          <w:rFonts w:ascii="Times New Roman" w:eastAsia="Times New Roman" w:hAnsi="Times New Roman" w:cs="Times New Roman"/>
          <w:b/>
          <w:bCs/>
          <w:sz w:val="24"/>
          <w:szCs w:val="24"/>
        </w:rPr>
        <w:t>IV. TỔ CHỨC THỰC HIỆN</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1. Bộ trưởng, Thủ trưởng cơ quan ngang Bộ, cơ quan thuộc Chính phủ, Chủ tịch Ủy ban nhân dân tỉnh, thành phố trực thuộc Trung ương theo chức năng, nhiệm vụ, quyền hạn được giao:</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a) Khẩn trương cụ thể hóa, thể chế hóa bằng các văn bản quy định cụ thể để tổ chức thực hiện kịp thời, hiệu quả các chính sách, giải pháp được giao tại Nghị quyết.</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b) Thường xuyên kiểm tra, giám sát, bảo đảm tiến độ các mục tiêu, nhiệm vụ, chế độ báo cáo nêu tại Nghị quyết này. Đối với việc theo dõi, khảo sát và đánh giá các mục tiêu: Văn phòng Chính phủ chịu trách nhiệm về mục tiêu tại tiết e khoản 2, mục II; Bộ Kế hoạch và Đầu tư chịu trách nhiệm về các mục tiêu tại tiết a, b và d khoản 2 mục II; Bộ Khoa học và Công nghệ chịu trách nhiệm về các mục tiêu tại tiết c khoản 2 mục II; Bộ Công Thương chịu trách nhiệm về mục tiêu tại tiết đ khoản 2 mục II; Bộ Lao động-Thương binh và Xã hội chịu trách nhiệm về mục tiêu tại tiết g, khoản 2, mục II của Nghị quyết này.</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c) Kịp thời tổng hợp các kiến nghị, khó khăn và vướng mắc của doanh nghiệp trong phạm vi ngành, lĩnh vực, địa bàn được giao quản lý để xử lý hoặc chuyển tới cơ quan có thẩm quyền giải quyết.</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d) Xử lý nghiêm cán bộ, công chức gây khó khăn, nhũng nhiễu doanh nghiệp theo quy định của pháp luật.</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2. Liên đoàn Thương mại và Công nghiệp Việt Nam tổng hợp các kiến nghị, khó khăn, vướng mắc của doanh nghiệp chuyển tới các cơ quan quản lý nhà nước để xử lý, giải quyết; định kỳ hàng quý báo cáo Thủ tướng Chính phủ tình hình thực hiện và đồng thời gửi Bộ Kế hoạch và Đầu tư tổng hợp, theo dõi và công khai trên Cổng thông tin hỗ trợ doanh nghiệp; tích cực tổ chức các hoạt động tham vấn góp ý chính sách pháp luật; đẩy mạnh hoạt động định hướng, vận động xây dựng đạo đức doanh nhân, văn hóa kinh doanh thượng tôn pháp luật, trách nhiệm xã hội, hài hòa lợi ích trong cộng đồng doanh nhân, doanh nghiệp Việt Nam; tăng cường kết nối doanh nghiệp, hiệp hội doanh nghiệp tham gia xây dựng và triển khai các quy hoạch phát triển ngành hàng, kinh tế vùng và địa phương.</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3. Các hiệp hội doanh nghiệp, hiệp hội ngành nghề</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a) Xây dựng các chương trình, biện pháp cụ thể, khả thi để tiếp tục nâng cao chất lượng hoạt động, thực hiện tốt vai trò là tổ chức đại diện cho cộng đồng doanh nghiệp, đội ngũ doanh nhân và người sử dụng lao động ở Việt Nam; khuyến khích, phát huy vai trò của đội ngũ doanh nhân Việt Nam trong thời kỳ đẩy mạnh công nghiệp hóa, hiện đại hóa và hội nhập quốc tế; xây dựng và triển khai rộng rãi các chuẩn mực đạo đức, văn hóa thượng tôn pháp luật, trách nhiệm xã hội, hài hòa lợi ích của doanh nhân Việt Nam trong nền kinh tế thị trường định hướng xã hội chủ nghĩa; nêu cao tinh thần và trách nhiệm của doanh nghiệp, doanh nhân Việt Nam đối với quốc gia, dân tộc.</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b) Chủ động nghiên cứu, đánh giá thách thức, thời cơ, xu hướng kinh doanh, xu hướng thị trường mới của ngành, lĩnh vực, đặc biệt là các yêu cầu về kinh doanh bền vững, kinh doanh xanh; kịp thời chia sẻ, hướng dẫn, hỗ trợ tư vấn cho doanh nghiệp hội viên và ngành hàng.</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c) Đại diện và tăng cường quyền lợi cho các hội viên của mình trong các quan hệ trong nước và quốc tế; làm cầu nối, vận động chính sách, duy trì đối thoại với Chính phủ và quan hệ với các cơ quan, tổ chức trong nước, nước ngoài về luật và chính sách điều chỉnh hoạt động của cộng đồng doanh nghiệp.</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d) Phối hợp chặt chẽ với các cơ quan hỗ trợ doanh nghiệp của trung ương và địa phương để xây dựng và tổ chức triển khai hiệu quả chương trình, giải pháp hỗ trợ doanh nghiệp, thúc đẩy kết nối kinh doanh giữa doanh nghiệp trong nước và doanh nghiệp nước ngoài, giữa doanh nghiệp các địa phương với nhau, giữa các tập đoàn kinh tế, doanh nghiệp lớn và doanh nghiệp nhỏ và vừa.</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lastRenderedPageBreak/>
        <w:t>đ) Tổng hợp các kiến nghị, khó khăn và vướng mắc của doanh nghiệp chuyển tới các cơ quan quản lý nhà nước để xử lý, giải quyết; đồng thời sao gửi Bộ Kế hoạch và Đầu tư tổng hợp, theo dõi và công khai trên Cổng thông tin hỗ trợ doanh nghiệp.</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4. Bộ Kế hoạch và Đầu tư chủ trì, phối hợp với các Bộ, cơ quan liên quan đôn đốc, kiểm tra, giám sát tình hình triển khai thực hiện Nghị quyết, định kỳ hàng năm báo cáo Chính phủ; thực hiện khảo sát đánh giá sơ kết, tổng kết và đề xuất sửa đổi, bổ sung Nghị quyết này.</w:t>
      </w:r>
    </w:p>
    <w:p w:rsidR="003A1404" w:rsidRPr="003A1404" w:rsidRDefault="003A1404" w:rsidP="003A1404">
      <w:pPr>
        <w:spacing w:after="0" w:line="240" w:lineRule="auto"/>
        <w:jc w:val="center"/>
        <w:rPr>
          <w:rFonts w:ascii="Times New Roman" w:eastAsia="Times New Roman" w:hAnsi="Times New Roman" w:cs="Times New Roman"/>
          <w:sz w:val="24"/>
          <w:szCs w:val="24"/>
        </w:rPr>
      </w:pPr>
      <w:r w:rsidRPr="003A1404">
        <w:rPr>
          <w:rFonts w:ascii="Times New Roman" w:eastAsia="Times New Roman" w:hAnsi="Times New Roman" w:cs="Times New Roman"/>
          <w:b/>
          <w:bCs/>
          <w:sz w:val="24"/>
          <w:szCs w:val="24"/>
        </w:rPr>
        <w:t>V. HIỆU LỰC THI HÀNH</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1. Nghị quyết này có hiệu lực kể từ ngày ký ban hành và thay thế Nghị quyết số 35/NQ-CP ngày 15 tháng 6 năm 2016 của Chính phủ về hỗ trợ và phát triển doanh nghiệp đến năm 2020.</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2. Bộ trưởng, Thủ trưởng cơ quan ngang bộ, Thủ trưởng cơ quan thuộc Chính phủ, Chủ tịch Ủy ban nhân dân các tỉnh, thành phố trực thuộc Trung ương chịu trách nhiệm trực tiếp trước Chính phủ, Thủ tướng Chính phủ về việc triển khai và kết quả thực hiện Nghị quyết này./.</w:t>
      </w:r>
    </w:p>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 </w:t>
      </w:r>
    </w:p>
    <w:tbl>
      <w:tblPr>
        <w:tblW w:w="5000" w:type="pct"/>
        <w:tblCellSpacing w:w="0" w:type="dxa"/>
        <w:tblCellMar>
          <w:left w:w="0" w:type="dxa"/>
          <w:right w:w="0" w:type="dxa"/>
        </w:tblCellMar>
        <w:tblLook w:val="04A0"/>
      </w:tblPr>
      <w:tblGrid>
        <w:gridCol w:w="5271"/>
        <w:gridCol w:w="4704"/>
      </w:tblGrid>
      <w:tr w:rsidR="003A1404" w:rsidRPr="003A1404" w:rsidTr="003A1404">
        <w:trPr>
          <w:tblCellSpacing w:w="0" w:type="dxa"/>
        </w:trPr>
        <w:tc>
          <w:tcPr>
            <w:tcW w:w="2642" w:type="pct"/>
            <w:tcMar>
              <w:top w:w="0" w:type="dxa"/>
              <w:left w:w="108" w:type="dxa"/>
              <w:bottom w:w="0" w:type="dxa"/>
              <w:right w:w="108" w:type="dxa"/>
            </w:tcMar>
            <w:hideMark/>
          </w:tcPr>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b/>
                <w:bCs/>
                <w:i/>
                <w:iCs/>
                <w:sz w:val="24"/>
                <w:szCs w:val="24"/>
              </w:rPr>
              <w:br/>
              <w:t>Nơi nhận:</w:t>
            </w:r>
            <w:r w:rsidRPr="003A1404">
              <w:rPr>
                <w:rFonts w:ascii="Times New Roman" w:eastAsia="Times New Roman" w:hAnsi="Times New Roman" w:cs="Times New Roman"/>
                <w:b/>
                <w:bCs/>
                <w:i/>
                <w:iCs/>
                <w:sz w:val="24"/>
                <w:szCs w:val="24"/>
              </w:rPr>
              <w:br/>
            </w:r>
            <w:r w:rsidRPr="003A1404">
              <w:rPr>
                <w:rFonts w:ascii="Times New Roman" w:eastAsia="Times New Roman" w:hAnsi="Times New Roman" w:cs="Times New Roman"/>
                <w:sz w:val="16"/>
                <w:szCs w:val="16"/>
              </w:rPr>
              <w:t>- Ban Bí thư Trung ương Đảng;</w:t>
            </w:r>
            <w:r w:rsidRPr="003A1404">
              <w:rPr>
                <w:rFonts w:ascii="Times New Roman" w:eastAsia="Times New Roman" w:hAnsi="Times New Roman" w:cs="Times New Roman"/>
                <w:sz w:val="16"/>
                <w:szCs w:val="16"/>
              </w:rPr>
              <w:br/>
              <w:t>- Thủ tướng, các Phó Thủ tướng Chính phủ;</w:t>
            </w:r>
            <w:r w:rsidRPr="003A1404">
              <w:rPr>
                <w:rFonts w:ascii="Times New Roman" w:eastAsia="Times New Roman" w:hAnsi="Times New Roman" w:cs="Times New Roman"/>
                <w:sz w:val="16"/>
                <w:szCs w:val="16"/>
              </w:rPr>
              <w:br/>
              <w:t>- Các bộ, cơ quan ngang bộ, cơ quan thuộc Chính phủ;</w:t>
            </w:r>
            <w:r w:rsidRPr="003A1404">
              <w:rPr>
                <w:rFonts w:ascii="Times New Roman" w:eastAsia="Times New Roman" w:hAnsi="Times New Roman" w:cs="Times New Roman"/>
                <w:sz w:val="16"/>
                <w:szCs w:val="16"/>
              </w:rPr>
              <w:br/>
              <w:t>- HĐND, UBND các tỉnh, thành phố trực thuộc trung ương;</w:t>
            </w:r>
            <w:r w:rsidRPr="003A1404">
              <w:rPr>
                <w:rFonts w:ascii="Times New Roman" w:eastAsia="Times New Roman" w:hAnsi="Times New Roman" w:cs="Times New Roman"/>
                <w:sz w:val="16"/>
                <w:szCs w:val="16"/>
              </w:rPr>
              <w:br/>
              <w:t>- Văn phòng Trung ương và các Ban của Đảng;</w:t>
            </w:r>
            <w:r w:rsidRPr="003A1404">
              <w:rPr>
                <w:rFonts w:ascii="Times New Roman" w:eastAsia="Times New Roman" w:hAnsi="Times New Roman" w:cs="Times New Roman"/>
                <w:sz w:val="16"/>
                <w:szCs w:val="16"/>
              </w:rPr>
              <w:br/>
              <w:t>- Văn phòng Tổng Bí thư;</w:t>
            </w:r>
            <w:r w:rsidRPr="003A1404">
              <w:rPr>
                <w:rFonts w:ascii="Times New Roman" w:eastAsia="Times New Roman" w:hAnsi="Times New Roman" w:cs="Times New Roman"/>
                <w:sz w:val="16"/>
                <w:szCs w:val="16"/>
              </w:rPr>
              <w:br/>
              <w:t>- Văn phòng Chủ tịch nước;</w:t>
            </w:r>
            <w:r w:rsidRPr="003A1404">
              <w:rPr>
                <w:rFonts w:ascii="Times New Roman" w:eastAsia="Times New Roman" w:hAnsi="Times New Roman" w:cs="Times New Roman"/>
                <w:sz w:val="16"/>
                <w:szCs w:val="16"/>
              </w:rPr>
              <w:br/>
              <w:t>- Hội đồng Dân tộc và các Ủy ban của Quốc hội;</w:t>
            </w:r>
            <w:r w:rsidRPr="003A1404">
              <w:rPr>
                <w:rFonts w:ascii="Times New Roman" w:eastAsia="Times New Roman" w:hAnsi="Times New Roman" w:cs="Times New Roman"/>
                <w:sz w:val="16"/>
                <w:szCs w:val="16"/>
              </w:rPr>
              <w:br/>
              <w:t>- Văn phòng Quốc hội;</w:t>
            </w:r>
            <w:r w:rsidRPr="003A1404">
              <w:rPr>
                <w:rFonts w:ascii="Times New Roman" w:eastAsia="Times New Roman" w:hAnsi="Times New Roman" w:cs="Times New Roman"/>
                <w:sz w:val="16"/>
                <w:szCs w:val="16"/>
              </w:rPr>
              <w:br/>
              <w:t>- Tòa án nhân dân tối cao;</w:t>
            </w:r>
            <w:r w:rsidRPr="003A1404">
              <w:rPr>
                <w:rFonts w:ascii="Times New Roman" w:eastAsia="Times New Roman" w:hAnsi="Times New Roman" w:cs="Times New Roman"/>
                <w:sz w:val="16"/>
                <w:szCs w:val="16"/>
              </w:rPr>
              <w:br/>
              <w:t>- Viện kiểm sát nhân dân tối cao;</w:t>
            </w:r>
            <w:r w:rsidRPr="003A1404">
              <w:rPr>
                <w:rFonts w:ascii="Times New Roman" w:eastAsia="Times New Roman" w:hAnsi="Times New Roman" w:cs="Times New Roman"/>
                <w:sz w:val="16"/>
                <w:szCs w:val="16"/>
              </w:rPr>
              <w:br/>
              <w:t>- Kiểm toán nhà nước;</w:t>
            </w:r>
            <w:r w:rsidRPr="003A1404">
              <w:rPr>
                <w:rFonts w:ascii="Times New Roman" w:eastAsia="Times New Roman" w:hAnsi="Times New Roman" w:cs="Times New Roman"/>
                <w:sz w:val="16"/>
                <w:szCs w:val="16"/>
              </w:rPr>
              <w:br/>
              <w:t>- Ủy ban Giám sát tài chính Quốc gia;</w:t>
            </w:r>
            <w:r w:rsidRPr="003A1404">
              <w:rPr>
                <w:rFonts w:ascii="Times New Roman" w:eastAsia="Times New Roman" w:hAnsi="Times New Roman" w:cs="Times New Roman"/>
                <w:sz w:val="16"/>
                <w:szCs w:val="16"/>
              </w:rPr>
              <w:br/>
              <w:t>- Ngân hàng Chính sách xã hội;</w:t>
            </w:r>
            <w:r w:rsidRPr="003A1404">
              <w:rPr>
                <w:rFonts w:ascii="Times New Roman" w:eastAsia="Times New Roman" w:hAnsi="Times New Roman" w:cs="Times New Roman"/>
                <w:sz w:val="16"/>
                <w:szCs w:val="16"/>
              </w:rPr>
              <w:br/>
              <w:t>- Ngân hàng Phát triển Việt Nam;</w:t>
            </w:r>
            <w:r w:rsidRPr="003A1404">
              <w:rPr>
                <w:rFonts w:ascii="Times New Roman" w:eastAsia="Times New Roman" w:hAnsi="Times New Roman" w:cs="Times New Roman"/>
                <w:sz w:val="16"/>
                <w:szCs w:val="16"/>
              </w:rPr>
              <w:br/>
              <w:t>- Ủy ban trung ương Mặt trận Tổ quốc Việt Nam;</w:t>
            </w:r>
            <w:r w:rsidRPr="003A1404">
              <w:rPr>
                <w:rFonts w:ascii="Times New Roman" w:eastAsia="Times New Roman" w:hAnsi="Times New Roman" w:cs="Times New Roman"/>
                <w:sz w:val="16"/>
                <w:szCs w:val="16"/>
              </w:rPr>
              <w:br/>
              <w:t>- Cơ quan trung ương của các đoàn thể;</w:t>
            </w:r>
            <w:r w:rsidRPr="003A1404">
              <w:rPr>
                <w:rFonts w:ascii="Times New Roman" w:eastAsia="Times New Roman" w:hAnsi="Times New Roman" w:cs="Times New Roman"/>
                <w:sz w:val="16"/>
                <w:szCs w:val="16"/>
              </w:rPr>
              <w:br/>
              <w:t>- VPCP: BTCN, các PCN, Trợ lý TTg, TGĐ Cổng TTĐT,</w:t>
            </w:r>
            <w:r w:rsidRPr="003A1404">
              <w:rPr>
                <w:rFonts w:ascii="Times New Roman" w:eastAsia="Times New Roman" w:hAnsi="Times New Roman" w:cs="Times New Roman"/>
                <w:sz w:val="16"/>
                <w:szCs w:val="16"/>
              </w:rPr>
              <w:br/>
              <w:t>các Vụ, Cục, đơn vị trực thuộc, Công báo;</w:t>
            </w:r>
            <w:r w:rsidRPr="003A1404">
              <w:rPr>
                <w:rFonts w:ascii="Times New Roman" w:eastAsia="Times New Roman" w:hAnsi="Times New Roman" w:cs="Times New Roman"/>
                <w:sz w:val="16"/>
                <w:szCs w:val="16"/>
              </w:rPr>
              <w:br/>
              <w:t>- Lưu: VT, ĐMDN (2b). Q</w:t>
            </w:r>
          </w:p>
        </w:tc>
        <w:tc>
          <w:tcPr>
            <w:tcW w:w="2358" w:type="pct"/>
            <w:tcMar>
              <w:top w:w="0" w:type="dxa"/>
              <w:left w:w="108" w:type="dxa"/>
              <w:bottom w:w="0" w:type="dxa"/>
              <w:right w:w="108" w:type="dxa"/>
            </w:tcMar>
            <w:hideMark/>
          </w:tcPr>
          <w:p w:rsidR="003A1404" w:rsidRPr="003A1404" w:rsidRDefault="003A1404" w:rsidP="003A1404">
            <w:pPr>
              <w:spacing w:after="0"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b/>
                <w:bCs/>
                <w:sz w:val="24"/>
                <w:szCs w:val="24"/>
              </w:rPr>
              <w:t>TM. CHÍNH PHỦ</w:t>
            </w:r>
            <w:r w:rsidRPr="003A1404">
              <w:rPr>
                <w:rFonts w:ascii="Times New Roman" w:eastAsia="Times New Roman" w:hAnsi="Times New Roman" w:cs="Times New Roman"/>
                <w:b/>
                <w:bCs/>
                <w:sz w:val="24"/>
                <w:szCs w:val="24"/>
              </w:rPr>
              <w:br/>
              <w:t>KT. THỦ TƯỚNG</w:t>
            </w:r>
            <w:r w:rsidRPr="003A1404">
              <w:rPr>
                <w:rFonts w:ascii="Times New Roman" w:eastAsia="Times New Roman" w:hAnsi="Times New Roman" w:cs="Times New Roman"/>
                <w:b/>
                <w:bCs/>
                <w:sz w:val="24"/>
                <w:szCs w:val="24"/>
              </w:rPr>
              <w:br/>
              <w:t>PHÓ THỦ TƯỚNG</w:t>
            </w:r>
            <w:r w:rsidRPr="003A1404">
              <w:rPr>
                <w:rFonts w:ascii="Times New Roman" w:eastAsia="Times New Roman" w:hAnsi="Times New Roman" w:cs="Times New Roman"/>
                <w:b/>
                <w:bCs/>
                <w:sz w:val="24"/>
                <w:szCs w:val="24"/>
              </w:rPr>
              <w:br/>
            </w:r>
            <w:r w:rsidRPr="003A1404">
              <w:rPr>
                <w:rFonts w:ascii="Times New Roman" w:eastAsia="Times New Roman" w:hAnsi="Times New Roman" w:cs="Times New Roman"/>
                <w:b/>
                <w:bCs/>
                <w:sz w:val="24"/>
                <w:szCs w:val="24"/>
              </w:rPr>
              <w:br/>
            </w:r>
            <w:r w:rsidRPr="003A1404">
              <w:rPr>
                <w:rFonts w:ascii="Times New Roman" w:eastAsia="Times New Roman" w:hAnsi="Times New Roman" w:cs="Times New Roman"/>
                <w:b/>
                <w:bCs/>
                <w:sz w:val="24"/>
                <w:szCs w:val="24"/>
              </w:rPr>
              <w:br/>
            </w:r>
            <w:r w:rsidRPr="003A1404">
              <w:rPr>
                <w:rFonts w:ascii="Times New Roman" w:eastAsia="Times New Roman" w:hAnsi="Times New Roman" w:cs="Times New Roman"/>
                <w:b/>
                <w:bCs/>
                <w:sz w:val="24"/>
                <w:szCs w:val="24"/>
              </w:rPr>
              <w:br/>
            </w:r>
            <w:r w:rsidRPr="003A1404">
              <w:rPr>
                <w:rFonts w:ascii="Times New Roman" w:eastAsia="Times New Roman" w:hAnsi="Times New Roman" w:cs="Times New Roman"/>
                <w:b/>
                <w:bCs/>
                <w:sz w:val="24"/>
                <w:szCs w:val="24"/>
              </w:rPr>
              <w:br/>
              <w:t>Lê Minh Khái</w:t>
            </w:r>
          </w:p>
        </w:tc>
      </w:tr>
    </w:tbl>
    <w:p w:rsidR="003A1404" w:rsidRPr="003A1404" w:rsidRDefault="003A1404" w:rsidP="003A1404">
      <w:pPr>
        <w:spacing w:before="120" w:after="100" w:afterAutospacing="1" w:line="240" w:lineRule="auto"/>
        <w:rPr>
          <w:rFonts w:ascii="Times New Roman" w:eastAsia="Times New Roman" w:hAnsi="Times New Roman" w:cs="Times New Roman"/>
          <w:sz w:val="24"/>
          <w:szCs w:val="24"/>
        </w:rPr>
      </w:pPr>
      <w:r w:rsidRPr="003A1404">
        <w:rPr>
          <w:rFonts w:ascii="Times New Roman" w:eastAsia="Times New Roman" w:hAnsi="Times New Roman" w:cs="Times New Roman"/>
          <w:sz w:val="24"/>
          <w:szCs w:val="24"/>
        </w:rPr>
        <w:t> </w:t>
      </w:r>
    </w:p>
    <w:p w:rsidR="004170C3" w:rsidRDefault="004170C3"/>
    <w:sectPr w:rsidR="004170C3" w:rsidSect="003A1404">
      <w:pgSz w:w="12240" w:h="15840"/>
      <w:pgMar w:top="1135" w:right="1041"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B21942"/>
    <w:multiLevelType w:val="multilevel"/>
    <w:tmpl w:val="38F0A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B8A4F27"/>
    <w:multiLevelType w:val="multilevel"/>
    <w:tmpl w:val="C116D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3A1404"/>
    <w:rsid w:val="003A1404"/>
    <w:rsid w:val="004170C3"/>
    <w:rsid w:val="00ED33A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0C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A140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A1404"/>
    <w:rPr>
      <w:color w:val="0000FF"/>
      <w:u w:val="single"/>
    </w:rPr>
  </w:style>
  <w:style w:type="paragraph" w:styleId="BalloonText">
    <w:name w:val="Balloon Text"/>
    <w:basedOn w:val="Normal"/>
    <w:link w:val="BalloonTextChar"/>
    <w:uiPriority w:val="99"/>
    <w:semiHidden/>
    <w:unhideWhenUsed/>
    <w:rsid w:val="003A14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140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64414776">
      <w:bodyDiv w:val="1"/>
      <w:marLeft w:val="0"/>
      <w:marRight w:val="0"/>
      <w:marTop w:val="0"/>
      <w:marBottom w:val="0"/>
      <w:divBdr>
        <w:top w:val="none" w:sz="0" w:space="0" w:color="auto"/>
        <w:left w:val="none" w:sz="0" w:space="0" w:color="auto"/>
        <w:bottom w:val="none" w:sz="0" w:space="0" w:color="auto"/>
        <w:right w:val="none" w:sz="0" w:space="0" w:color="auto"/>
      </w:divBdr>
      <w:divsChild>
        <w:div w:id="281364">
          <w:marLeft w:val="0"/>
          <w:marRight w:val="225"/>
          <w:marTop w:val="0"/>
          <w:marBottom w:val="0"/>
          <w:divBdr>
            <w:top w:val="none" w:sz="0" w:space="0" w:color="auto"/>
            <w:left w:val="none" w:sz="0" w:space="0" w:color="auto"/>
            <w:bottom w:val="none" w:sz="0" w:space="0" w:color="auto"/>
            <w:right w:val="none" w:sz="0" w:space="0" w:color="auto"/>
          </w:divBdr>
          <w:divsChild>
            <w:div w:id="704254994">
              <w:marLeft w:val="0"/>
              <w:marRight w:val="0"/>
              <w:marTop w:val="0"/>
              <w:marBottom w:val="0"/>
              <w:divBdr>
                <w:top w:val="none" w:sz="0" w:space="0" w:color="auto"/>
                <w:left w:val="none" w:sz="0" w:space="0" w:color="auto"/>
                <w:bottom w:val="none" w:sz="0" w:space="0" w:color="auto"/>
                <w:right w:val="none" w:sz="0" w:space="0" w:color="auto"/>
              </w:divBdr>
              <w:divsChild>
                <w:div w:id="972176146">
                  <w:marLeft w:val="0"/>
                  <w:marRight w:val="0"/>
                  <w:marTop w:val="0"/>
                  <w:marBottom w:val="0"/>
                  <w:divBdr>
                    <w:top w:val="none" w:sz="0" w:space="0" w:color="auto"/>
                    <w:left w:val="none" w:sz="0" w:space="0" w:color="auto"/>
                    <w:bottom w:val="none" w:sz="0" w:space="0" w:color="auto"/>
                    <w:right w:val="none" w:sz="0" w:space="0" w:color="auto"/>
                  </w:divBdr>
                  <w:divsChild>
                    <w:div w:id="618419611">
                      <w:marLeft w:val="0"/>
                      <w:marRight w:val="0"/>
                      <w:marTop w:val="0"/>
                      <w:marBottom w:val="0"/>
                      <w:divBdr>
                        <w:top w:val="none" w:sz="0" w:space="0" w:color="auto"/>
                        <w:left w:val="none" w:sz="0" w:space="0" w:color="auto"/>
                        <w:bottom w:val="none" w:sz="0" w:space="0" w:color="auto"/>
                        <w:right w:val="none" w:sz="0" w:space="0" w:color="auto"/>
                      </w:divBdr>
                      <w:divsChild>
                        <w:div w:id="340201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3524460">
          <w:marLeft w:val="0"/>
          <w:marRight w:val="0"/>
          <w:marTop w:val="150"/>
          <w:marBottom w:val="0"/>
          <w:divBdr>
            <w:top w:val="none" w:sz="0" w:space="0" w:color="auto"/>
            <w:left w:val="none" w:sz="0" w:space="0" w:color="auto"/>
            <w:bottom w:val="none" w:sz="0" w:space="0" w:color="auto"/>
            <w:right w:val="none" w:sz="0" w:space="0" w:color="auto"/>
          </w:divBdr>
          <w:divsChild>
            <w:div w:id="1438258360">
              <w:marLeft w:val="0"/>
              <w:marRight w:val="0"/>
              <w:marTop w:val="0"/>
              <w:marBottom w:val="0"/>
              <w:divBdr>
                <w:top w:val="none" w:sz="0" w:space="0" w:color="auto"/>
                <w:left w:val="none" w:sz="0" w:space="0" w:color="auto"/>
                <w:bottom w:val="none" w:sz="0" w:space="0" w:color="auto"/>
                <w:right w:val="none" w:sz="0" w:space="0" w:color="auto"/>
              </w:divBdr>
            </w:div>
          </w:divsChild>
        </w:div>
        <w:div w:id="1391926052">
          <w:marLeft w:val="0"/>
          <w:marRight w:val="0"/>
          <w:marTop w:val="0"/>
          <w:marBottom w:val="0"/>
          <w:divBdr>
            <w:top w:val="none" w:sz="0" w:space="0" w:color="auto"/>
            <w:left w:val="none" w:sz="0" w:space="0" w:color="auto"/>
            <w:bottom w:val="none" w:sz="0" w:space="0" w:color="auto"/>
            <w:right w:val="none" w:sz="0" w:space="0" w:color="auto"/>
          </w:divBdr>
          <w:divsChild>
            <w:div w:id="1431707218">
              <w:marLeft w:val="0"/>
              <w:marRight w:val="0"/>
              <w:marTop w:val="0"/>
              <w:marBottom w:val="0"/>
              <w:divBdr>
                <w:top w:val="none" w:sz="0" w:space="0" w:color="auto"/>
                <w:left w:val="none" w:sz="0" w:space="0" w:color="auto"/>
                <w:bottom w:val="none" w:sz="0" w:space="0" w:color="auto"/>
                <w:right w:val="none" w:sz="0" w:space="0" w:color="auto"/>
              </w:divBdr>
              <w:divsChild>
                <w:div w:id="37584450">
                  <w:marLeft w:val="0"/>
                  <w:marRight w:val="0"/>
                  <w:marTop w:val="0"/>
                  <w:marBottom w:val="0"/>
                  <w:divBdr>
                    <w:top w:val="none" w:sz="0" w:space="0" w:color="auto"/>
                    <w:left w:val="none" w:sz="0" w:space="0" w:color="auto"/>
                    <w:bottom w:val="none" w:sz="0" w:space="0" w:color="auto"/>
                    <w:right w:val="none" w:sz="0" w:space="0" w:color="auto"/>
                  </w:divBdr>
                  <w:divsChild>
                    <w:div w:id="1086919962">
                      <w:marLeft w:val="0"/>
                      <w:marRight w:val="0"/>
                      <w:marTop w:val="0"/>
                      <w:marBottom w:val="0"/>
                      <w:divBdr>
                        <w:top w:val="none" w:sz="0" w:space="0" w:color="auto"/>
                        <w:left w:val="none" w:sz="0" w:space="0" w:color="auto"/>
                        <w:bottom w:val="none" w:sz="0" w:space="0" w:color="auto"/>
                        <w:right w:val="none" w:sz="0" w:space="0" w:color="auto"/>
                      </w:divBdr>
                      <w:divsChild>
                        <w:div w:id="1234463987">
                          <w:marLeft w:val="0"/>
                          <w:marRight w:val="0"/>
                          <w:marTop w:val="150"/>
                          <w:marBottom w:val="0"/>
                          <w:divBdr>
                            <w:top w:val="none" w:sz="0" w:space="0" w:color="auto"/>
                            <w:left w:val="none" w:sz="0" w:space="0" w:color="auto"/>
                            <w:bottom w:val="none" w:sz="0" w:space="0" w:color="auto"/>
                            <w:right w:val="none" w:sz="0" w:space="0" w:color="auto"/>
                          </w:divBdr>
                          <w:divsChild>
                            <w:div w:id="1267348088">
                              <w:marLeft w:val="0"/>
                              <w:marRight w:val="0"/>
                              <w:marTop w:val="0"/>
                              <w:marBottom w:val="0"/>
                              <w:divBdr>
                                <w:top w:val="none" w:sz="0" w:space="0" w:color="auto"/>
                                <w:left w:val="none" w:sz="0" w:space="0" w:color="auto"/>
                                <w:bottom w:val="none" w:sz="0" w:space="0" w:color="auto"/>
                                <w:right w:val="none" w:sz="0" w:space="0" w:color="auto"/>
                              </w:divBdr>
                              <w:divsChild>
                                <w:div w:id="119619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10</Pages>
  <Words>5459</Words>
  <Characters>31117</Characters>
  <Application>Microsoft Office Word</Application>
  <DocSecurity>0</DocSecurity>
  <Lines>259</Lines>
  <Paragraphs>73</Paragraphs>
  <ScaleCrop>false</ScaleCrop>
  <Company/>
  <LinksUpToDate>false</LinksUpToDate>
  <CharactersWithSpaces>36503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trang</dc:creator>
  <cp:lastModifiedBy>trang</cp:lastModifiedBy>
  <cp:revision>1</cp:revision>
  <dcterms:created xsi:type="dcterms:W3CDTF">2023-04-24T08:16:00Z</dcterms:created>
  <dcterms:modified xsi:type="dcterms:W3CDTF">2023-04-24T08:20:00Z</dcterms:modified>
</cp:coreProperties>
</file>